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_GBK" w:hAnsi="方正小标宋_GBK" w:eastAsia="方正小标宋_GBK" w:cs="方正小标宋_GBK"/>
          <w:sz w:val="44"/>
          <w:szCs w:val="44"/>
          <w:lang w:val="en-US" w:eastAsia="zh-CN"/>
        </w:rPr>
      </w:pPr>
      <w:bookmarkStart w:id="0" w:name="_GoBack"/>
      <w:bookmarkEnd w:id="0"/>
      <w:r>
        <w:rPr>
          <w:sz w:val="44"/>
        </w:rPr>
        <mc:AlternateContent>
          <mc:Choice Requires="wps">
            <w:drawing>
              <wp:anchor distT="0" distB="0" distL="114300" distR="114300" simplePos="0" relativeHeight="25165926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4" name="KGD_Gobal1" descr="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" style="position:absolute;left:0pt;margin-left:-100pt;margin-top:-62pt;height:5pt;width:5pt;visibility:hidden;z-index:25165926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">
                <v:fill on="t" focussize="0,0"/>
                <v:stroke weight="1pt" color="#41719C [3204]" miterlimit="8" joinstyle="miter"/>
                <v:imagedata o:title=""/>
                <o:lock v:ext="edit" aspectratio="f"/>
              </v:rect>
            </w:pict>
          </mc:Fallback>
        </mc:AlternateContent>
      </w:r>
      <w:r>
        <w:rPr>
          <w:rFonts w:hint="eastAsia" w:ascii="方正小标宋_GBK" w:hAnsi="方正小标宋_GBK" w:eastAsia="方正小标宋_GBK" w:cs="方正小标宋_GBK"/>
          <w:sz w:val="44"/>
          <w:szCs w:val="44"/>
          <w:lang w:eastAsia="zh-CN"/>
        </w:rPr>
        <w:t>梁河县财政局</w:t>
      </w:r>
      <w:r>
        <w:rPr>
          <w:rFonts w:hint="eastAsia" w:ascii="方正小标宋_GBK" w:hAnsi="方正小标宋_GBK" w:eastAsia="方正小标宋_GBK" w:cs="方正小标宋_GBK"/>
          <w:sz w:val="44"/>
          <w:szCs w:val="44"/>
          <w:lang w:val="en-US" w:eastAsia="zh-CN"/>
        </w:rPr>
        <w:t>关于下达2022年民族地区</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农房功能提升（农村危房改造接续支持）</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试点补助资金的通知</w:t>
      </w:r>
    </w:p>
    <w:p>
      <w:pPr>
        <w:keepNext w:val="0"/>
        <w:keepLines w:val="0"/>
        <w:pageBreakBefore w:val="0"/>
        <w:widowControl w:val="0"/>
        <w:kinsoku/>
        <w:wordWrap/>
        <w:overflowPunct/>
        <w:topLinePunct w:val="0"/>
        <w:autoSpaceDE/>
        <w:autoSpaceDN/>
        <w:bidi w:val="0"/>
        <w:adjustRightInd/>
        <w:snapToGrid/>
        <w:spacing w:line="520" w:lineRule="exact"/>
        <w:ind w:left="0" w:leftChars="0"/>
        <w:jc w:val="both"/>
        <w:textAlignment w:val="auto"/>
        <w:outlineLvl w:val="9"/>
        <w:rPr>
          <w:rFonts w:hint="default" w:ascii="Times New Roman" w:hAnsi="Times New Roman" w:eastAsia="方正仿宋_GBK" w:cs="Times New Roman"/>
          <w:w w:val="9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梁河县勐养镇人民政府：</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根据《德宏州财政局关于下达2022年民族地区农房功能提升（农村危房改造接续支持）试点补助资金的通知》（德财社〔2022〕164号）和《梁河县住房和城乡建设局关于将2022年民族地区农房功能提升补助资金指标下达勐养镇人民政府实施的函》（梁建函〔2022〕103号），现下达你单位2022年民族地区农房功能提升（农村危房改造接续支持）试点补助资金，具体金额详见附件。并就有关事项通知如下：</w:t>
      </w:r>
    </w:p>
    <w:p>
      <w:pPr>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2022年民族地区农房功能提升（农村危房改造接续支持）试点补助资金用于支持我州7个试点村“四类重点对象”（即：农村易返贫致贫户、农村低保户、农村分散供养特困户，以及因病因灾意外事故等刚性支出较大或收入大幅缩减导致基本生活出现严重困难家庭）和“两类家庭”（即：农村低保边缘家庭、未享受过农村住房保障政策支持且依靠自身力量无法解决住房安全问题的其他脱贫户）在住房安全有保障的基础上，进一步提升农房功能，统筹整村推进民族地区农房室内功能提升试点工作。该项资金请列入2022年政府收支分类科目“1100258住房保障共同财政事权转移支付收入”，支出列入“2210105农村危房改造”，政府及部门支出经济分类科目，请根据该项目要求和实际情况按照《</w:t>
      </w:r>
      <w:r>
        <w:rPr>
          <w:rFonts w:hint="eastAsia" w:ascii="Times New Roman" w:hAnsi="Times New Roman" w:eastAsia="方正仿宋_GBK" w:cs="Times New Roman"/>
          <w:sz w:val="32"/>
          <w:szCs w:val="32"/>
          <w:lang w:val="en-US" w:eastAsia="zh-CN"/>
        </w:rPr>
        <w:t>中华人民共和国</w:t>
      </w:r>
      <w:r>
        <w:rPr>
          <w:rFonts w:hint="default" w:ascii="Times New Roman" w:hAnsi="Times New Roman" w:eastAsia="方正仿宋_GBK" w:cs="Times New Roman"/>
          <w:sz w:val="32"/>
          <w:szCs w:val="32"/>
          <w:lang w:val="en-US" w:eastAsia="zh-CN"/>
        </w:rPr>
        <w:t>预算法》和财政资金相关管理规定列支。</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二、此次下达的补助资金列入直达资金管理，该项直达资金的标识为“01 中央直达资金”，贯穿资金分配、拨付、使用等整个环节，且保持不变。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请对试点民族地区低收群体实施农房功能情况动态监测，符合条件的及时纳入改造范围，科学合理设定补助标准，加强质量安全管理，实现低收入群体农房功能提升。因地制宜推广各类适宜农房技术方法和住房保障方式，确保试点地区农房在保留民族优秀传统建筑风格和满足安全稳固的基础上，合理分隔卧、厨、厅、卫功能，提升保暖、隔音、防火等性能，升级成为具有现代居住功能的传统民居。</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四、为进一步加强预算绩效管理，切实提高财政资金使用效益，按照《中共中央 国务院关于全面实施预算绩效管理的意见》要求，请在组织预算执行中对照区域绩效目标做好绩效监控，确保年度绩效目标如期实现。</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五、县财政、住房城乡建设部门要密切合作，按照《财政部 住房城乡建设部关于印发〈中央财政农村危房改造补</w:t>
      </w:r>
      <w:r>
        <w:rPr>
          <w:sz w:val="32"/>
        </w:rPr>
        <mc:AlternateContent>
          <mc:Choice Requires="wps">
            <w:drawing>
              <wp:anchor distT="0" distB="0" distL="114300" distR="114300" simplePos="0" relativeHeight="251660288" behindDoc="0" locked="0" layoutInCell="1" allowOverlap="1">
                <wp:simplePos x="0" y="0"/>
                <wp:positionH relativeFrom="column">
                  <wp:posOffset>-4923155</wp:posOffset>
                </wp:positionH>
                <wp:positionV relativeFrom="paragraph">
                  <wp:posOffset>-6260465</wp:posOffset>
                </wp:positionV>
                <wp:extent cx="15120620" cy="21384260"/>
                <wp:effectExtent l="0" t="0" r="0" b="0"/>
                <wp:wrapNone/>
                <wp:docPr id="3" name="KG_Shd_3"/>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3" o:spid="_x0000_s1026" o:spt="1" style="position:absolute;left:0pt;margin-left:-387.65pt;margin-top:-492.95pt;height:1683.8pt;width:1190.6pt;z-index:251660288;v-text-anchor:middle;mso-width-relative:page;mso-height-relative:page;" fillcolor="#FFFFFF" filled="t" stroked="t" coordsize="21600,21600" o:gfxdata="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yDXdYNsAAAAPAQAADwAAAAAAAAABACAAAAAiAAAA&#10;ZHJzL2Rvd25yZXYueG1sUEsBAhQAFAAAAAgAh07iQNHXgvN2AgAAPAUAAA4AAAAAAAAAAQAgAAAA&#10;KgEAAGRycy9lMm9Eb2MueG1sUEsFBgAAAAAGAAYAWQEAABIGAAAAAA==&#10;">
                <v:fill on="t" opacity="0f" focussize="0,0"/>
                <v:stroke weight="1pt" color="#FFFFFF [3204]" opacity="0f" miterlimit="8" joinstyle="miter"/>
                <v:imagedata o:title=""/>
                <o:lock v:ext="edit" aspectratio="f"/>
              </v:rect>
            </w:pict>
          </mc:Fallback>
        </mc:AlternateContent>
      </w:r>
      <w:r>
        <w:rPr>
          <w:rFonts w:hint="default" w:ascii="Times New Roman" w:hAnsi="Times New Roman" w:eastAsia="方正仿宋_GBK" w:cs="Times New Roman"/>
          <w:sz w:val="32"/>
          <w:szCs w:val="32"/>
          <w:lang w:val="en-US" w:eastAsia="zh-CN"/>
        </w:rPr>
        <w:t>助资金管理暂行办法〉的通知》（财社〔2022〕42号）等要求，加强对农村危房改造补助资金的使用管理，加快预算执行进度，提高资金使用效益，避免闲置浪费。</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六、请单位收到文件后，于3日内在预算管理一体化系统中挂接项目，完成挂接项目后请电话通知行财股（3019051）。如未按时限挂接项目导致资金无法正常使用，由各单位自行负责。</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20" w:lineRule="exact"/>
        <w:ind w:left="1598" w:leftChars="304" w:right="0" w:rightChars="0" w:hanging="960" w:hangingChars="3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附件：1.2022年民族地区农房功能提升（农村危房改造接续支持）试点补助资金分配表</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1600" w:firstLineChars="5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2.省级对地方转移支付区域绩效目标表</w:t>
      </w:r>
    </w:p>
    <w:p>
      <w:pPr>
        <w:keepNext w:val="0"/>
        <w:keepLines w:val="0"/>
        <w:pageBreakBefore w:val="0"/>
        <w:widowControl w:val="0"/>
        <w:kinsoku/>
        <w:wordWrap/>
        <w:overflowPunct/>
        <w:topLinePunct w:val="0"/>
        <w:autoSpaceDE/>
        <w:autoSpaceDN/>
        <w:bidi w:val="0"/>
        <w:adjustRightInd w:val="0"/>
        <w:snapToGrid w:val="0"/>
        <w:spacing w:line="520" w:lineRule="exact"/>
        <w:ind w:left="1596" w:leftChars="760" w:right="0" w:rightChars="0" w:firstLine="0" w:firstLineChars="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3.梁建函〔2022〕103号梁河县住房和城乡建设局关于将2022年民族地区农房功能提升补助资金指标下达勐养镇人民政府实施的函</w:t>
      </w:r>
    </w:p>
    <w:p>
      <w:pPr>
        <w:pStyle w:val="2"/>
        <w:keepNext w:val="0"/>
        <w:keepLines w:val="0"/>
        <w:pageBreakBefore w:val="0"/>
        <w:widowControl w:val="0"/>
        <w:kinsoku/>
        <w:wordWrap/>
        <w:overflowPunct/>
        <w:topLinePunct w:val="0"/>
        <w:bidi w:val="0"/>
        <w:spacing w:line="520" w:lineRule="exact"/>
        <w:jc w:val="both"/>
        <w:textAlignment w:val="auto"/>
        <w:rPr>
          <w:rFonts w:hint="default" w:ascii="Times New Roman" w:hAnsi="Times New Roman" w:eastAsia="方正仿宋_GBK" w:cs="Times New Roman"/>
          <w:sz w:val="32"/>
          <w:szCs w:val="32"/>
          <w:lang w:val="en-US" w:eastAsia="zh-CN"/>
        </w:rPr>
      </w:pPr>
    </w:p>
    <w:p>
      <w:pPr>
        <w:pStyle w:val="2"/>
        <w:keepNext w:val="0"/>
        <w:keepLines w:val="0"/>
        <w:pageBreakBefore w:val="0"/>
        <w:widowControl w:val="0"/>
        <w:kinsoku/>
        <w:wordWrap/>
        <w:overflowPunct/>
        <w:topLinePunct w:val="0"/>
        <w:bidi w:val="0"/>
        <w:spacing w:line="520" w:lineRule="exact"/>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jc w:val="center"/>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eastAsia="zh-CN"/>
        </w:rPr>
        <w:t>梁河县财政</w:t>
      </w:r>
      <w:r>
        <w:rPr>
          <w:rFonts w:hint="default" w:ascii="Times New Roman" w:hAnsi="Times New Roman" w:eastAsia="方正仿宋_GBK" w:cs="Times New Roman"/>
          <w:sz w:val="32"/>
          <w:szCs w:val="32"/>
        </w:rPr>
        <w:t>局</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jc w:val="center"/>
        <w:textAlignment w:val="auto"/>
        <w:rPr>
          <w:rFonts w:hint="default"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val="en-US" w:eastAsia="zh-CN"/>
        </w:rPr>
        <w:t>10</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lang w:val="en-US" w:eastAsia="zh-CN"/>
        </w:rPr>
        <w:t>13</w:t>
      </w:r>
      <w:r>
        <w:rPr>
          <w:rFonts w:hint="default" w:ascii="Times New Roman" w:hAnsi="Times New Roman" w:eastAsia="方正仿宋_GBK" w:cs="Times New Roman"/>
          <w:sz w:val="32"/>
          <w:szCs w:val="32"/>
          <w:lang w:eastAsia="zh-CN"/>
        </w:rPr>
        <w:t>日</w:t>
      </w:r>
    </w:p>
    <w:p>
      <w:pPr>
        <w:pStyle w:val="2"/>
        <w:keepNext w:val="0"/>
        <w:keepLines w:val="0"/>
        <w:pageBreakBefore w:val="0"/>
        <w:widowControl w:val="0"/>
        <w:kinsoku/>
        <w:wordWrap/>
        <w:overflowPunct/>
        <w:topLinePunct w:val="0"/>
        <w:bidi w:val="0"/>
        <w:spacing w:line="520" w:lineRule="exact"/>
        <w:ind w:left="0" w:leftChars="0" w:firstLine="0" w:firstLineChars="0"/>
        <w:textAlignment w:val="auto"/>
        <w:rPr>
          <w:rFonts w:hint="default" w:ascii="Times New Roman" w:hAnsi="Times New Roman" w:eastAsia="方正仿宋_GBK" w:cs="Times New Roman"/>
          <w:sz w:val="32"/>
          <w:szCs w:val="32"/>
        </w:rPr>
      </w:pPr>
    </w:p>
    <w:p>
      <w:pPr>
        <w:pStyle w:val="2"/>
        <w:keepNext w:val="0"/>
        <w:keepLines w:val="0"/>
        <w:pageBreakBefore w:val="0"/>
        <w:widowControl w:val="0"/>
        <w:kinsoku/>
        <w:wordWrap/>
        <w:overflowPunct/>
        <w:topLinePunct w:val="0"/>
        <w:bidi w:val="0"/>
        <w:spacing w:line="520" w:lineRule="exact"/>
        <w:ind w:left="0" w:leftChars="0" w:firstLine="0" w:firstLineChars="0"/>
        <w:textAlignment w:val="auto"/>
        <w:rPr>
          <w:rFonts w:hint="default" w:ascii="Times New Roman" w:hAnsi="Times New Roman" w:eastAsia="方正仿宋_GBK" w:cs="Times New Roman"/>
          <w:sz w:val="32"/>
          <w:szCs w:val="32"/>
        </w:rPr>
      </w:pPr>
    </w:p>
    <w:p>
      <w:pPr>
        <w:pStyle w:val="2"/>
        <w:keepNext w:val="0"/>
        <w:keepLines w:val="0"/>
        <w:pageBreakBefore w:val="0"/>
        <w:widowControl w:val="0"/>
        <w:kinsoku/>
        <w:wordWrap/>
        <w:overflowPunct/>
        <w:topLinePunct w:val="0"/>
        <w:bidi w:val="0"/>
        <w:spacing w:line="520" w:lineRule="exact"/>
        <w:ind w:left="0" w:leftChars="0" w:firstLine="0" w:firstLineChars="0"/>
        <w:textAlignment w:val="auto"/>
        <w:rPr>
          <w:rFonts w:hint="default" w:ascii="Times New Roman" w:hAnsi="Times New Roman" w:eastAsia="方正仿宋_GBK" w:cs="Times New Roman"/>
          <w:sz w:val="32"/>
          <w:szCs w:val="32"/>
        </w:rPr>
      </w:pPr>
    </w:p>
    <w:p>
      <w:pPr>
        <w:pStyle w:val="2"/>
        <w:keepNext w:val="0"/>
        <w:keepLines w:val="0"/>
        <w:pageBreakBefore w:val="0"/>
        <w:widowControl w:val="0"/>
        <w:kinsoku/>
        <w:wordWrap/>
        <w:overflowPunct/>
        <w:topLinePunct w:val="0"/>
        <w:bidi w:val="0"/>
        <w:spacing w:line="520" w:lineRule="exact"/>
        <w:ind w:left="0" w:leftChars="0" w:firstLine="0" w:firstLineChars="0"/>
        <w:textAlignment w:val="auto"/>
        <w:rPr>
          <w:rFonts w:hint="default" w:ascii="Times New Roman" w:hAnsi="Times New Roman" w:eastAsia="方正仿宋_GBK" w:cs="Times New Roman"/>
          <w:sz w:val="32"/>
          <w:szCs w:val="32"/>
        </w:rPr>
      </w:pPr>
    </w:p>
    <w:p>
      <w:pPr>
        <w:pStyle w:val="2"/>
        <w:keepNext w:val="0"/>
        <w:keepLines w:val="0"/>
        <w:pageBreakBefore w:val="0"/>
        <w:widowControl w:val="0"/>
        <w:kinsoku/>
        <w:wordWrap/>
        <w:overflowPunct/>
        <w:topLinePunct w:val="0"/>
        <w:bidi w:val="0"/>
        <w:spacing w:line="520" w:lineRule="exact"/>
        <w:ind w:left="0" w:leftChars="0" w:firstLine="0" w:firstLineChars="0"/>
        <w:textAlignment w:val="auto"/>
        <w:rPr>
          <w:rFonts w:hint="default" w:ascii="Times New Roman" w:hAnsi="Times New Roman" w:eastAsia="方正仿宋_GBK" w:cs="Times New Roman"/>
          <w:sz w:val="32"/>
          <w:szCs w:val="32"/>
        </w:rPr>
      </w:pPr>
    </w:p>
    <w:p>
      <w:pPr>
        <w:pStyle w:val="2"/>
        <w:ind w:left="0" w:leftChars="0" w:firstLine="0" w:firstLineChars="0"/>
        <w:rPr>
          <w:rFonts w:hint="eastAsia" w:ascii="Times New Roman" w:hAnsi="Times New Roman" w:eastAsia="方正仿宋_GBK" w:cs="方正仿宋_GBK"/>
          <w:sz w:val="28"/>
          <w:szCs w:val="28"/>
        </w:rPr>
      </w:pPr>
    </w:p>
    <w:p>
      <w:pPr>
        <w:pStyle w:val="2"/>
        <w:rPr>
          <w:rFonts w:hint="eastAsia" w:ascii="Times New Roman" w:hAnsi="Times New Roman" w:eastAsia="方正仿宋_GBK" w:cs="方正仿宋_GBK"/>
          <w:sz w:val="32"/>
          <w:szCs w:val="32"/>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附件1：</w:t>
      </w:r>
    </w:p>
    <w:p>
      <w:pPr>
        <w:keepNext w:val="0"/>
        <w:keepLines w:val="0"/>
        <w:pageBreakBefore w:val="0"/>
        <w:widowControl w:val="0"/>
        <w:kinsoku/>
        <w:wordWrap/>
        <w:overflowPunct/>
        <w:topLinePunct w:val="0"/>
        <w:autoSpaceDE/>
        <w:autoSpaceDN/>
        <w:bidi w:val="0"/>
        <w:adjustRightInd w:val="0"/>
        <w:snapToGrid w:val="0"/>
        <w:spacing w:line="560" w:lineRule="exact"/>
        <w:ind w:firstLine="640"/>
        <w:jc w:val="center"/>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2022年民族地区农房功能提升（农村危房改造接续支持）</w:t>
      </w: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方正仿宋_GBK" w:hAnsi="方正仿宋_GBK" w:eastAsia="方正仿宋_GBK" w:cs="方正仿宋_GBK"/>
          <w:sz w:val="32"/>
          <w:szCs w:val="32"/>
          <w:lang w:val="en-US" w:eastAsia="zh-CN"/>
        </w:rPr>
      </w:pPr>
      <w:r>
        <w:rPr>
          <w:rFonts w:hint="eastAsia" w:ascii="黑体" w:hAnsi="黑体" w:eastAsia="黑体" w:cs="黑体"/>
          <w:sz w:val="32"/>
          <w:szCs w:val="32"/>
          <w:lang w:val="en-US" w:eastAsia="zh-CN"/>
        </w:rPr>
        <w:t>试点补助资金分配表</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center"/>
        <w:textAlignment w:val="auto"/>
        <w:outlineLvl w:val="9"/>
        <w:rPr>
          <w:rFonts w:hint="eastAsia" w:eastAsia="方正仿宋_GBK" w:cs="Times New Roman"/>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center"/>
        <w:textAlignment w:val="auto"/>
        <w:outlineLvl w:val="9"/>
        <w:rPr>
          <w:rFonts w:hint="default" w:ascii="Times New Roman" w:hAnsi="Times New Roman" w:eastAsia="黑体" w:cs="Times New Roman"/>
          <w:b w:val="0"/>
          <w:bCs w:val="0"/>
          <w:sz w:val="32"/>
          <w:szCs w:val="32"/>
          <w:lang w:val="en-US" w:eastAsia="zh-CN"/>
        </w:rPr>
      </w:pPr>
      <w:r>
        <w:rPr>
          <w:rFonts w:hint="eastAsia" w:eastAsia="方正仿宋_GBK" w:cs="Times New Roman"/>
          <w:b w:val="0"/>
          <w:bCs w:val="0"/>
          <w:sz w:val="32"/>
          <w:szCs w:val="32"/>
          <w:lang w:val="en-US" w:eastAsia="zh-CN"/>
        </w:rPr>
        <w:t xml:space="preserve">                                金额单位：万元</w:t>
      </w:r>
      <w:r>
        <w:rPr>
          <w:rFonts w:hint="default" w:ascii="Times New Roman" w:hAnsi="Times New Roman" w:eastAsia="方正仿宋_GBK" w:cs="Times New Roman"/>
          <w:b w:val="0"/>
          <w:bCs w:val="0"/>
          <w:sz w:val="32"/>
          <w:szCs w:val="32"/>
          <w:lang w:val="en-US" w:eastAsia="zh-CN"/>
        </w:rPr>
        <w:t xml:space="preserve">                                 </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9"/>
        <w:gridCol w:w="3212"/>
        <w:gridCol w:w="3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1227"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center"/>
              <w:textAlignment w:val="auto"/>
              <w:outlineLvl w:val="9"/>
              <w:rPr>
                <w:rFonts w:hint="default" w:ascii="Times New Roman" w:hAnsi="Times New Roman" w:eastAsia="方正仿宋_GBK" w:cs="Times New Roman"/>
                <w:b w:val="0"/>
                <w:bCs w:val="0"/>
                <w:kern w:val="2"/>
                <w:sz w:val="32"/>
                <w:szCs w:val="32"/>
                <w:lang w:val="en-US" w:eastAsia="zh-CN" w:bidi="ar-SA"/>
              </w:rPr>
            </w:pPr>
            <w:r>
              <w:rPr>
                <w:rFonts w:hint="default" w:ascii="Times New Roman" w:hAnsi="Times New Roman" w:eastAsia="方正仿宋_GBK" w:cs="Times New Roman"/>
                <w:b w:val="0"/>
                <w:bCs w:val="0"/>
                <w:sz w:val="32"/>
                <w:szCs w:val="32"/>
                <w:lang w:val="en-US" w:eastAsia="zh-CN"/>
              </w:rPr>
              <w:t>县</w:t>
            </w:r>
            <w:r>
              <w:rPr>
                <w:rFonts w:hint="eastAsia" w:eastAsia="方正仿宋_GBK" w:cs="Times New Roman"/>
                <w:b w:val="0"/>
                <w:bCs w:val="0"/>
                <w:sz w:val="32"/>
                <w:szCs w:val="32"/>
                <w:lang w:val="en-US" w:eastAsia="zh-CN"/>
              </w:rPr>
              <w:t xml:space="preserve">  </w:t>
            </w:r>
            <w:r>
              <w:rPr>
                <w:rFonts w:hint="default" w:ascii="Times New Roman" w:hAnsi="Times New Roman" w:eastAsia="方正仿宋_GBK" w:cs="Times New Roman"/>
                <w:b w:val="0"/>
                <w:bCs w:val="0"/>
                <w:sz w:val="32"/>
                <w:szCs w:val="32"/>
                <w:lang w:val="en-US" w:eastAsia="zh-CN"/>
              </w:rPr>
              <w:t>市</w:t>
            </w:r>
          </w:p>
        </w:tc>
        <w:tc>
          <w:tcPr>
            <w:tcW w:w="1886"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center"/>
              <w:textAlignment w:val="auto"/>
              <w:outlineLvl w:val="9"/>
              <w:rPr>
                <w:rFonts w:hint="default" w:ascii="Times New Roman" w:hAnsi="Times New Roman" w:eastAsia="方正仿宋_GBK" w:cs="Times New Roman"/>
                <w:b w:val="0"/>
                <w:bCs w:val="0"/>
                <w:kern w:val="2"/>
                <w:sz w:val="32"/>
                <w:szCs w:val="32"/>
                <w:lang w:val="en-US" w:eastAsia="zh-CN" w:bidi="ar-SA"/>
              </w:rPr>
            </w:pPr>
            <w:r>
              <w:rPr>
                <w:rFonts w:hint="eastAsia" w:eastAsia="方正仿宋_GBK" w:cs="Times New Roman"/>
                <w:b w:val="0"/>
                <w:bCs w:val="0"/>
                <w:sz w:val="32"/>
                <w:szCs w:val="32"/>
                <w:lang w:val="en-US" w:eastAsia="zh-CN"/>
              </w:rPr>
              <w:t>本次</w:t>
            </w:r>
            <w:r>
              <w:rPr>
                <w:rFonts w:hint="default" w:ascii="Times New Roman" w:hAnsi="Times New Roman" w:eastAsia="方正仿宋_GBK" w:cs="Times New Roman"/>
                <w:b w:val="0"/>
                <w:bCs w:val="0"/>
                <w:sz w:val="32"/>
                <w:szCs w:val="32"/>
                <w:lang w:val="en-US" w:eastAsia="zh-CN"/>
              </w:rPr>
              <w:t>下达资金</w:t>
            </w:r>
          </w:p>
        </w:tc>
        <w:tc>
          <w:tcPr>
            <w:tcW w:w="1886"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center"/>
              <w:textAlignment w:val="auto"/>
              <w:outlineLvl w:val="9"/>
              <w:rPr>
                <w:rFonts w:hint="default" w:ascii="Times New Roman" w:hAnsi="Times New Roman" w:eastAsia="方正仿宋_GBK" w:cs="Times New Roman"/>
                <w:b w:val="0"/>
                <w:bCs w:val="0"/>
                <w:sz w:val="32"/>
                <w:szCs w:val="32"/>
                <w:lang w:val="en-US" w:eastAsia="zh-CN"/>
              </w:rPr>
            </w:pPr>
            <w:r>
              <w:rPr>
                <w:rFonts w:hint="eastAsia" w:eastAsia="方正仿宋_GBK" w:cs="Times New Roman"/>
                <w:b w:val="0"/>
                <w:bCs w:val="0"/>
                <w:sz w:val="32"/>
                <w:szCs w:val="32"/>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1227"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center"/>
              <w:textAlignment w:val="auto"/>
              <w:outlineLvl w:val="9"/>
              <w:rPr>
                <w:rFonts w:hint="default" w:ascii="Times New Roman" w:hAnsi="Times New Roman" w:eastAsia="方正仿宋_GBK" w:cs="Times New Roman"/>
                <w:b w:val="0"/>
                <w:bCs w:val="0"/>
                <w:kern w:val="2"/>
                <w:sz w:val="32"/>
                <w:szCs w:val="32"/>
                <w:lang w:val="en-US" w:eastAsia="zh-CN" w:bidi="ar-SA"/>
              </w:rPr>
            </w:pPr>
            <w:r>
              <w:rPr>
                <w:rFonts w:hint="default" w:ascii="Times New Roman" w:hAnsi="Times New Roman" w:eastAsia="方正仿宋_GBK" w:cs="Times New Roman"/>
                <w:b w:val="0"/>
                <w:bCs w:val="0"/>
                <w:sz w:val="32"/>
                <w:szCs w:val="32"/>
                <w:lang w:val="en-US" w:eastAsia="zh-CN"/>
              </w:rPr>
              <w:t>梁河县</w:t>
            </w:r>
          </w:p>
        </w:tc>
        <w:tc>
          <w:tcPr>
            <w:tcW w:w="1886"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center"/>
              <w:textAlignment w:val="auto"/>
              <w:outlineLvl w:val="9"/>
              <w:rPr>
                <w:rFonts w:hint="default" w:ascii="Times New Roman" w:hAnsi="Times New Roman" w:eastAsia="方正仿宋_GBK" w:cs="Times New Roman"/>
                <w:b w:val="0"/>
                <w:bCs w:val="0"/>
                <w:kern w:val="2"/>
                <w:sz w:val="32"/>
                <w:szCs w:val="32"/>
                <w:lang w:val="en-US" w:eastAsia="zh-CN" w:bidi="ar-SA"/>
              </w:rPr>
            </w:pPr>
            <w:r>
              <w:rPr>
                <w:rFonts w:hint="eastAsia" w:eastAsia="方正仿宋_GBK" w:cs="Times New Roman"/>
                <w:b w:val="0"/>
                <w:bCs w:val="0"/>
                <w:sz w:val="32"/>
                <w:szCs w:val="32"/>
                <w:lang w:val="en-US" w:eastAsia="zh-CN"/>
              </w:rPr>
              <w:t>30</w:t>
            </w:r>
          </w:p>
        </w:tc>
        <w:tc>
          <w:tcPr>
            <w:tcW w:w="1886"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center"/>
              <w:textAlignment w:val="auto"/>
              <w:outlineLvl w:val="9"/>
              <w:rPr>
                <w:rFonts w:hint="default" w:ascii="Times New Roman" w:hAnsi="Times New Roman" w:eastAsia="方正仿宋_GBK" w:cs="Times New Roman"/>
                <w:b w:val="0"/>
                <w:bCs w:val="0"/>
                <w:sz w:val="32"/>
                <w:szCs w:val="32"/>
                <w:lang w:val="en-US" w:eastAsia="zh-CN"/>
              </w:rPr>
            </w:pPr>
            <w:r>
              <w:rPr>
                <w:rFonts w:hint="eastAsia" w:eastAsia="方正仿宋_GBK" w:cs="Times New Roman"/>
                <w:b w:val="0"/>
                <w:bCs w:val="0"/>
                <w:sz w:val="32"/>
                <w:szCs w:val="32"/>
                <w:lang w:val="en-US" w:eastAsia="zh-CN"/>
              </w:rPr>
              <w:t>30</w:t>
            </w:r>
          </w:p>
        </w:tc>
      </w:tr>
    </w:tbl>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pStyle w:val="2"/>
        <w:rPr>
          <w:rFonts w:hint="eastAsia" w:ascii="黑体" w:hAnsi="黑体" w:eastAsia="黑体" w:cs="黑体"/>
          <w:b w:val="0"/>
          <w:bCs w:val="0"/>
          <w:sz w:val="32"/>
          <w:szCs w:val="32"/>
          <w:lang w:val="en-US" w:eastAsia="zh-CN"/>
        </w:rPr>
      </w:pPr>
    </w:p>
    <w:p>
      <w:pPr>
        <w:pStyle w:val="2"/>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jc w:val="left"/>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附件2：</w:t>
      </w:r>
    </w:p>
    <w:p>
      <w:pPr>
        <w:tabs>
          <w:tab w:val="left" w:pos="2340"/>
          <w:tab w:val="left" w:pos="2520"/>
          <w:tab w:val="left" w:pos="3960"/>
        </w:tabs>
        <w:jc w:val="center"/>
        <w:rPr>
          <w:rFonts w:hint="eastAsia" w:ascii="黑体" w:hAnsi="黑体" w:eastAsia="黑体" w:cs="黑体"/>
          <w:sz w:val="32"/>
          <w:szCs w:val="32"/>
        </w:rPr>
      </w:pPr>
      <w:r>
        <w:rPr>
          <w:rFonts w:hint="eastAsia" w:ascii="黑体" w:hAnsi="黑体" w:eastAsia="黑体" w:cs="黑体"/>
          <w:sz w:val="32"/>
          <w:szCs w:val="32"/>
        </w:rPr>
        <w:t>省级对地方转移支付区域绩效目标表</w:t>
      </w:r>
    </w:p>
    <w:p>
      <w:pPr>
        <w:tabs>
          <w:tab w:val="left" w:pos="2340"/>
          <w:tab w:val="left" w:pos="2520"/>
          <w:tab w:val="left" w:pos="3960"/>
        </w:tabs>
        <w:jc w:val="center"/>
        <w:rPr>
          <w:rFonts w:hint="eastAsia"/>
          <w:sz w:val="32"/>
          <w:szCs w:val="32"/>
        </w:rPr>
      </w:pPr>
      <w:r>
        <w:rPr>
          <w:rFonts w:hint="eastAsia"/>
          <w:sz w:val="32"/>
          <w:szCs w:val="32"/>
        </w:rPr>
        <w:t>（202</w:t>
      </w:r>
      <w:r>
        <w:rPr>
          <w:rFonts w:hint="eastAsia"/>
          <w:sz w:val="32"/>
          <w:szCs w:val="32"/>
          <w:lang w:val="en-US" w:eastAsia="zh-CN"/>
        </w:rPr>
        <w:t>2</w:t>
      </w:r>
      <w:r>
        <w:rPr>
          <w:rFonts w:hint="eastAsia"/>
          <w:sz w:val="32"/>
          <w:szCs w:val="32"/>
        </w:rPr>
        <w:t>年度）</w:t>
      </w:r>
    </w:p>
    <w:tbl>
      <w:tblPr>
        <w:tblStyle w:val="6"/>
        <w:tblW w:w="50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561"/>
        <w:gridCol w:w="1931"/>
        <w:gridCol w:w="1941"/>
        <w:gridCol w:w="1301"/>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162" w:type="pct"/>
            <w:gridSpan w:val="2"/>
            <w:noWrap w:val="0"/>
            <w:vAlign w:val="center"/>
          </w:tcPr>
          <w:p>
            <w:pPr>
              <w:spacing w:line="360" w:lineRule="auto"/>
              <w:jc w:val="center"/>
              <w:rPr>
                <w:rFonts w:hint="eastAsia"/>
                <w:sz w:val="24"/>
              </w:rPr>
            </w:pPr>
            <w:r>
              <w:rPr>
                <w:rFonts w:hint="eastAsia"/>
                <w:sz w:val="24"/>
              </w:rPr>
              <w:t>项目名称</w:t>
            </w:r>
          </w:p>
        </w:tc>
        <w:tc>
          <w:tcPr>
            <w:tcW w:w="3837" w:type="pct"/>
            <w:gridSpan w:val="4"/>
            <w:noWrap w:val="0"/>
            <w:vAlign w:val="center"/>
          </w:tcPr>
          <w:p>
            <w:pPr>
              <w:spacing w:line="360" w:lineRule="auto"/>
              <w:jc w:val="center"/>
              <w:rPr>
                <w:rFonts w:hint="default" w:eastAsia="宋体"/>
                <w:sz w:val="24"/>
                <w:lang w:val="en-US" w:eastAsia="zh-CN"/>
              </w:rPr>
            </w:pPr>
            <w:r>
              <w:rPr>
                <w:rFonts w:hint="eastAsia"/>
                <w:sz w:val="24"/>
                <w:lang w:eastAsia="zh-CN"/>
              </w:rPr>
              <w:t>民族地区</w:t>
            </w:r>
            <w:r>
              <w:rPr>
                <w:rFonts w:hint="eastAsia"/>
                <w:sz w:val="24"/>
              </w:rPr>
              <w:t>农</w:t>
            </w:r>
            <w:r>
              <w:rPr>
                <w:rFonts w:hint="eastAsia"/>
                <w:sz w:val="24"/>
                <w:lang w:eastAsia="zh-CN"/>
              </w:rPr>
              <w:t>房功能提升试点</w:t>
            </w:r>
            <w:r>
              <w:rPr>
                <w:rFonts w:hint="eastAsia"/>
                <w:sz w:val="24"/>
                <w:lang w:val="en-US" w:eastAsia="zh-CN"/>
              </w:rPr>
              <w:t>(农村危房改造接续支持)补助资金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162" w:type="pct"/>
            <w:gridSpan w:val="2"/>
            <w:noWrap w:val="0"/>
            <w:vAlign w:val="center"/>
          </w:tcPr>
          <w:p>
            <w:pPr>
              <w:spacing w:line="360" w:lineRule="auto"/>
              <w:jc w:val="center"/>
              <w:rPr>
                <w:rFonts w:hint="eastAsia"/>
                <w:sz w:val="24"/>
              </w:rPr>
            </w:pPr>
            <w:r>
              <w:rPr>
                <w:rFonts w:hint="eastAsia"/>
                <w:sz w:val="24"/>
              </w:rPr>
              <w:t>省级主管部门</w:t>
            </w:r>
          </w:p>
        </w:tc>
        <w:tc>
          <w:tcPr>
            <w:tcW w:w="3837" w:type="pct"/>
            <w:gridSpan w:val="4"/>
            <w:noWrap w:val="0"/>
            <w:vAlign w:val="center"/>
          </w:tcPr>
          <w:p>
            <w:pPr>
              <w:spacing w:line="360" w:lineRule="auto"/>
              <w:jc w:val="center"/>
              <w:rPr>
                <w:rFonts w:hint="eastAsia"/>
                <w:sz w:val="24"/>
              </w:rPr>
            </w:pPr>
            <w:r>
              <w:rPr>
                <w:rFonts w:hint="eastAsia"/>
                <w:sz w:val="24"/>
              </w:rPr>
              <w:t>云南省住房和城乡建设厅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162" w:type="pct"/>
            <w:gridSpan w:val="2"/>
            <w:noWrap w:val="0"/>
            <w:vAlign w:val="center"/>
          </w:tcPr>
          <w:p>
            <w:pPr>
              <w:spacing w:line="360" w:lineRule="auto"/>
              <w:jc w:val="center"/>
              <w:rPr>
                <w:rFonts w:hint="eastAsia" w:eastAsia="宋体"/>
                <w:szCs w:val="21"/>
                <w:lang w:eastAsia="zh-CN"/>
              </w:rPr>
            </w:pPr>
            <w:r>
              <w:rPr>
                <w:rFonts w:hint="eastAsia"/>
                <w:szCs w:val="21"/>
              </w:rPr>
              <w:t>州财政</w:t>
            </w:r>
            <w:r>
              <w:rPr>
                <w:rFonts w:hint="eastAsia"/>
                <w:szCs w:val="21"/>
                <w:lang w:eastAsia="zh-CN"/>
              </w:rPr>
              <w:t>部门</w:t>
            </w:r>
          </w:p>
        </w:tc>
        <w:tc>
          <w:tcPr>
            <w:tcW w:w="1113" w:type="pct"/>
            <w:noWrap w:val="0"/>
            <w:vAlign w:val="center"/>
          </w:tcPr>
          <w:p>
            <w:pPr>
              <w:spacing w:line="360" w:lineRule="auto"/>
              <w:jc w:val="center"/>
              <w:rPr>
                <w:rFonts w:hint="eastAsia"/>
                <w:sz w:val="24"/>
              </w:rPr>
            </w:pPr>
            <w:r>
              <w:rPr>
                <w:rFonts w:hint="eastAsia"/>
                <w:sz w:val="24"/>
              </w:rPr>
              <w:t>州财政局</w:t>
            </w:r>
          </w:p>
        </w:tc>
        <w:tc>
          <w:tcPr>
            <w:tcW w:w="1119" w:type="pct"/>
            <w:noWrap w:val="0"/>
            <w:vAlign w:val="center"/>
          </w:tcPr>
          <w:p>
            <w:pPr>
              <w:spacing w:line="360" w:lineRule="auto"/>
              <w:jc w:val="center"/>
              <w:rPr>
                <w:rFonts w:hint="eastAsia" w:eastAsia="宋体"/>
                <w:sz w:val="24"/>
                <w:lang w:eastAsia="zh-CN"/>
              </w:rPr>
            </w:pPr>
            <w:r>
              <w:rPr>
                <w:rFonts w:hint="eastAsia"/>
                <w:sz w:val="24"/>
                <w:lang w:eastAsia="zh-CN"/>
              </w:rPr>
              <w:t>州主管部门</w:t>
            </w:r>
          </w:p>
        </w:tc>
        <w:tc>
          <w:tcPr>
            <w:tcW w:w="1603" w:type="pct"/>
            <w:gridSpan w:val="2"/>
            <w:noWrap w:val="0"/>
            <w:vAlign w:val="center"/>
          </w:tcPr>
          <w:p>
            <w:pPr>
              <w:spacing w:line="360" w:lineRule="auto"/>
              <w:jc w:val="center"/>
              <w:rPr>
                <w:rFonts w:hint="eastAsia"/>
                <w:sz w:val="24"/>
              </w:rPr>
            </w:pPr>
            <w:r>
              <w:rPr>
                <w:rFonts w:hint="eastAsia"/>
                <w:sz w:val="24"/>
                <w:lang w:eastAsia="zh-CN"/>
              </w:rPr>
              <w:t>州</w:t>
            </w:r>
            <w:r>
              <w:rPr>
                <w:rFonts w:hint="eastAsia"/>
                <w:sz w:val="24"/>
              </w:rPr>
              <w:t>住建局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162" w:type="pct"/>
            <w:gridSpan w:val="2"/>
            <w:vMerge w:val="restart"/>
            <w:noWrap w:val="0"/>
            <w:vAlign w:val="center"/>
          </w:tcPr>
          <w:p>
            <w:pPr>
              <w:jc w:val="center"/>
              <w:rPr>
                <w:rFonts w:hint="eastAsia"/>
                <w:sz w:val="24"/>
                <w:lang w:eastAsia="zh-CN"/>
              </w:rPr>
            </w:pPr>
            <w:r>
              <w:rPr>
                <w:rFonts w:hint="eastAsia"/>
                <w:sz w:val="24"/>
                <w:lang w:eastAsia="zh-CN"/>
              </w:rPr>
              <w:t>资金情况</w:t>
            </w:r>
          </w:p>
          <w:p>
            <w:pPr>
              <w:jc w:val="center"/>
              <w:rPr>
                <w:rFonts w:hint="eastAsia" w:eastAsia="宋体"/>
                <w:sz w:val="24"/>
                <w:lang w:eastAsia="zh-CN"/>
              </w:rPr>
            </w:pPr>
            <w:r>
              <w:rPr>
                <w:rFonts w:hint="eastAsia"/>
                <w:sz w:val="24"/>
                <w:lang w:eastAsia="zh-CN"/>
              </w:rPr>
              <w:t>（万元）</w:t>
            </w:r>
          </w:p>
        </w:tc>
        <w:tc>
          <w:tcPr>
            <w:tcW w:w="1113" w:type="pct"/>
            <w:noWrap w:val="0"/>
            <w:vAlign w:val="center"/>
          </w:tcPr>
          <w:p>
            <w:pPr>
              <w:jc w:val="center"/>
              <w:rPr>
                <w:rFonts w:hint="eastAsia" w:eastAsia="宋体"/>
                <w:sz w:val="24"/>
                <w:lang w:eastAsia="zh-CN"/>
              </w:rPr>
            </w:pPr>
            <w:r>
              <w:rPr>
                <w:rFonts w:hint="eastAsia"/>
                <w:sz w:val="24"/>
                <w:lang w:eastAsia="zh-CN"/>
              </w:rPr>
              <w:t>下达资金总额</w:t>
            </w:r>
          </w:p>
        </w:tc>
        <w:tc>
          <w:tcPr>
            <w:tcW w:w="2723" w:type="pct"/>
            <w:gridSpan w:val="3"/>
            <w:noWrap w:val="0"/>
            <w:vAlign w:val="center"/>
          </w:tcPr>
          <w:p>
            <w:pPr>
              <w:jc w:val="center"/>
              <w:rPr>
                <w:rFonts w:hint="default" w:eastAsia="宋体"/>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162" w:type="pct"/>
            <w:gridSpan w:val="2"/>
            <w:vMerge w:val="continue"/>
            <w:noWrap w:val="0"/>
            <w:vAlign w:val="center"/>
          </w:tcPr>
          <w:p>
            <w:pPr>
              <w:jc w:val="center"/>
            </w:pPr>
          </w:p>
        </w:tc>
        <w:tc>
          <w:tcPr>
            <w:tcW w:w="1113" w:type="pct"/>
            <w:noWrap w:val="0"/>
            <w:vAlign w:val="center"/>
          </w:tcPr>
          <w:p>
            <w:pPr>
              <w:jc w:val="center"/>
              <w:rPr>
                <w:rFonts w:hint="eastAsia" w:eastAsia="宋体"/>
                <w:lang w:eastAsia="zh-CN"/>
              </w:rPr>
            </w:pPr>
            <w:r>
              <w:rPr>
                <w:rFonts w:hint="eastAsia"/>
                <w:lang w:eastAsia="zh-CN"/>
              </w:rPr>
              <w:t>其中：中央财政补助</w:t>
            </w:r>
          </w:p>
        </w:tc>
        <w:tc>
          <w:tcPr>
            <w:tcW w:w="2723" w:type="pct"/>
            <w:gridSpan w:val="3"/>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162" w:type="pct"/>
            <w:gridSpan w:val="2"/>
            <w:vMerge w:val="continue"/>
            <w:noWrap w:val="0"/>
            <w:vAlign w:val="center"/>
          </w:tcPr>
          <w:p>
            <w:pPr>
              <w:jc w:val="center"/>
              <w:rPr>
                <w:rFonts w:hint="eastAsia"/>
                <w:sz w:val="24"/>
              </w:rPr>
            </w:pPr>
          </w:p>
        </w:tc>
        <w:tc>
          <w:tcPr>
            <w:tcW w:w="1113" w:type="pct"/>
            <w:noWrap w:val="0"/>
            <w:vAlign w:val="center"/>
          </w:tcPr>
          <w:p>
            <w:pPr>
              <w:jc w:val="center"/>
              <w:rPr>
                <w:rFonts w:hint="eastAsia" w:eastAsia="宋体"/>
                <w:sz w:val="24"/>
                <w:lang w:eastAsia="zh-CN"/>
              </w:rPr>
            </w:pPr>
            <w:r>
              <w:rPr>
                <w:rFonts w:hint="eastAsia"/>
                <w:sz w:val="24"/>
                <w:lang w:eastAsia="zh-CN"/>
              </w:rPr>
              <w:t>地方资金</w:t>
            </w:r>
          </w:p>
        </w:tc>
        <w:tc>
          <w:tcPr>
            <w:tcW w:w="2723" w:type="pct"/>
            <w:gridSpan w:val="3"/>
            <w:noWrap w:val="0"/>
            <w:vAlign w:val="center"/>
          </w:tcPr>
          <w:p>
            <w:pPr>
              <w:tabs>
                <w:tab w:val="left" w:pos="3805"/>
              </w:tabs>
              <w:jc w:val="center"/>
              <w:rPr>
                <w:rFonts w:hint="eastAsia" w:eastAsia="宋体"/>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162" w:type="pct"/>
            <w:gridSpan w:val="2"/>
            <w:noWrap w:val="0"/>
            <w:vAlign w:val="top"/>
          </w:tcPr>
          <w:p>
            <w:pPr>
              <w:spacing w:line="360" w:lineRule="auto"/>
              <w:rPr>
                <w:rFonts w:hint="eastAsia" w:eastAsia="宋体"/>
                <w:sz w:val="24"/>
                <w:lang w:eastAsia="zh-CN"/>
              </w:rPr>
            </w:pPr>
            <w:r>
              <w:rPr>
                <w:rFonts w:hint="eastAsia"/>
                <w:sz w:val="24"/>
                <w:lang w:eastAsia="zh-CN"/>
              </w:rPr>
              <w:t>年度总体目标</w:t>
            </w:r>
          </w:p>
        </w:tc>
        <w:tc>
          <w:tcPr>
            <w:tcW w:w="3837" w:type="pct"/>
            <w:gridSpan w:val="4"/>
            <w:noWrap w:val="0"/>
            <w:vAlign w:val="top"/>
          </w:tcPr>
          <w:p>
            <w:pPr>
              <w:spacing w:line="360" w:lineRule="auto"/>
              <w:jc w:val="left"/>
              <w:rPr>
                <w:rFonts w:hint="default" w:eastAsia="宋体"/>
                <w:sz w:val="24"/>
                <w:lang w:val="en-US" w:eastAsia="zh-CN"/>
              </w:rPr>
            </w:pPr>
            <w:r>
              <w:rPr>
                <w:rFonts w:hint="eastAsia"/>
                <w:sz w:val="24"/>
                <w:lang w:eastAsia="zh-CN"/>
              </w:rPr>
              <w:t>对</w:t>
            </w:r>
            <w:r>
              <w:rPr>
                <w:rFonts w:hint="eastAsia"/>
                <w:sz w:val="24"/>
                <w:lang w:val="en-US" w:eastAsia="zh-CN"/>
              </w:rPr>
              <w:t>2022年列入支持范围的试点村进行补助、支持在保留民族优秀传统建筑风格和满足安全稳固的基础上，合理分隔卧、厨、厅、卫功能，提升保暖、隔音、防火等性能，升级成为具有现代居住功能的传统民居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2" w:type="pct"/>
            <w:vMerge w:val="restart"/>
            <w:noWrap w:val="0"/>
            <w:vAlign w:val="top"/>
          </w:tcPr>
          <w:p>
            <w:pPr>
              <w:rPr>
                <w:rFonts w:hint="eastAsia" w:eastAsia="宋体"/>
                <w:sz w:val="24"/>
                <w:lang w:eastAsia="zh-CN"/>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r>
              <w:rPr>
                <w:rFonts w:hint="eastAsia"/>
                <w:sz w:val="24"/>
              </w:rPr>
              <w:t>绩</w:t>
            </w:r>
          </w:p>
          <w:p>
            <w:pPr>
              <w:rPr>
                <w:rFonts w:hint="eastAsia"/>
                <w:sz w:val="24"/>
              </w:rPr>
            </w:pPr>
            <w:r>
              <w:rPr>
                <w:rFonts w:hint="eastAsia"/>
                <w:sz w:val="24"/>
              </w:rPr>
              <w:t>效</w:t>
            </w:r>
          </w:p>
          <w:p>
            <w:pPr>
              <w:rPr>
                <w:rFonts w:hint="eastAsia"/>
                <w:sz w:val="24"/>
              </w:rPr>
            </w:pPr>
            <w:r>
              <w:rPr>
                <w:rFonts w:hint="eastAsia"/>
                <w:sz w:val="24"/>
              </w:rPr>
              <w:t>指</w:t>
            </w:r>
          </w:p>
          <w:p>
            <w:pPr>
              <w:rPr>
                <w:rFonts w:hint="eastAsia"/>
                <w:sz w:val="24"/>
              </w:rPr>
            </w:pPr>
            <w:r>
              <w:rPr>
                <w:rFonts w:hint="eastAsia"/>
                <w:sz w:val="24"/>
              </w:rPr>
              <w:t>标</w:t>
            </w:r>
          </w:p>
        </w:tc>
        <w:tc>
          <w:tcPr>
            <w:tcW w:w="899" w:type="pct"/>
            <w:noWrap w:val="0"/>
            <w:vAlign w:val="center"/>
          </w:tcPr>
          <w:p>
            <w:pPr>
              <w:spacing w:line="360" w:lineRule="auto"/>
              <w:jc w:val="center"/>
              <w:rPr>
                <w:rFonts w:hint="eastAsia"/>
                <w:sz w:val="24"/>
              </w:rPr>
            </w:pPr>
            <w:r>
              <w:rPr>
                <w:rFonts w:hint="eastAsia"/>
                <w:sz w:val="24"/>
              </w:rPr>
              <w:t>一级指标</w:t>
            </w:r>
          </w:p>
        </w:tc>
        <w:tc>
          <w:tcPr>
            <w:tcW w:w="1113" w:type="pct"/>
            <w:noWrap w:val="0"/>
            <w:vAlign w:val="top"/>
          </w:tcPr>
          <w:p>
            <w:pPr>
              <w:spacing w:line="360" w:lineRule="auto"/>
              <w:jc w:val="center"/>
              <w:rPr>
                <w:rFonts w:hint="eastAsia"/>
                <w:sz w:val="24"/>
              </w:rPr>
            </w:pPr>
            <w:r>
              <w:rPr>
                <w:rFonts w:hint="eastAsia"/>
                <w:sz w:val="24"/>
              </w:rPr>
              <w:t>二级指标</w:t>
            </w:r>
          </w:p>
        </w:tc>
        <w:tc>
          <w:tcPr>
            <w:tcW w:w="1869" w:type="pct"/>
            <w:gridSpan w:val="2"/>
            <w:noWrap w:val="0"/>
            <w:vAlign w:val="top"/>
          </w:tcPr>
          <w:p>
            <w:pPr>
              <w:spacing w:line="360" w:lineRule="auto"/>
              <w:rPr>
                <w:rFonts w:hint="eastAsia"/>
                <w:sz w:val="24"/>
              </w:rPr>
            </w:pPr>
            <w:r>
              <w:rPr>
                <w:rFonts w:hint="eastAsia"/>
                <w:sz w:val="24"/>
              </w:rPr>
              <w:t>三级指标</w:t>
            </w:r>
          </w:p>
        </w:tc>
        <w:tc>
          <w:tcPr>
            <w:tcW w:w="854" w:type="pct"/>
            <w:noWrap w:val="0"/>
            <w:vAlign w:val="top"/>
          </w:tcPr>
          <w:p>
            <w:pPr>
              <w:spacing w:line="360" w:lineRule="auto"/>
              <w:jc w:val="center"/>
              <w:rPr>
                <w:rFonts w:hint="eastAsia"/>
                <w:sz w:val="24"/>
              </w:rPr>
            </w:pPr>
            <w:r>
              <w:rPr>
                <w:rFonts w:hint="eastAsia"/>
                <w:sz w:val="24"/>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62" w:type="pct"/>
            <w:vMerge w:val="continue"/>
            <w:noWrap w:val="0"/>
            <w:vAlign w:val="top"/>
          </w:tcPr>
          <w:p>
            <w:pPr>
              <w:rPr>
                <w:rFonts w:hint="eastAsia"/>
                <w:sz w:val="32"/>
                <w:szCs w:val="32"/>
              </w:rPr>
            </w:pPr>
          </w:p>
        </w:tc>
        <w:tc>
          <w:tcPr>
            <w:tcW w:w="899" w:type="pct"/>
            <w:vMerge w:val="restart"/>
            <w:noWrap w:val="0"/>
            <w:vAlign w:val="center"/>
          </w:tcPr>
          <w:p>
            <w:pPr>
              <w:spacing w:line="360" w:lineRule="auto"/>
              <w:jc w:val="both"/>
              <w:rPr>
                <w:rFonts w:hint="eastAsia"/>
                <w:sz w:val="24"/>
              </w:rPr>
            </w:pPr>
          </w:p>
          <w:p>
            <w:pPr>
              <w:spacing w:line="360" w:lineRule="auto"/>
              <w:jc w:val="center"/>
              <w:rPr>
                <w:rFonts w:hint="eastAsia"/>
                <w:sz w:val="24"/>
              </w:rPr>
            </w:pPr>
            <w:r>
              <w:rPr>
                <w:rFonts w:hint="eastAsia"/>
                <w:sz w:val="24"/>
              </w:rPr>
              <w:t>产出指标</w:t>
            </w:r>
          </w:p>
        </w:tc>
        <w:tc>
          <w:tcPr>
            <w:tcW w:w="1113" w:type="pct"/>
            <w:vMerge w:val="restart"/>
            <w:noWrap w:val="0"/>
            <w:vAlign w:val="top"/>
          </w:tcPr>
          <w:p>
            <w:pPr>
              <w:spacing w:line="360" w:lineRule="auto"/>
              <w:jc w:val="center"/>
              <w:rPr>
                <w:rFonts w:hint="eastAsia"/>
                <w:sz w:val="24"/>
              </w:rPr>
            </w:pPr>
            <w:r>
              <w:rPr>
                <w:rFonts w:hint="eastAsia"/>
                <w:sz w:val="24"/>
              </w:rPr>
              <w:t>数量指标</w:t>
            </w:r>
          </w:p>
        </w:tc>
        <w:tc>
          <w:tcPr>
            <w:tcW w:w="1869" w:type="pct"/>
            <w:gridSpan w:val="2"/>
            <w:noWrap w:val="0"/>
            <w:vAlign w:val="top"/>
          </w:tcPr>
          <w:p>
            <w:pPr>
              <w:spacing w:line="360" w:lineRule="auto"/>
              <w:rPr>
                <w:rFonts w:hint="eastAsia" w:eastAsia="宋体"/>
                <w:sz w:val="24"/>
                <w:lang w:eastAsia="zh-CN"/>
              </w:rPr>
            </w:pPr>
            <w:r>
              <w:rPr>
                <w:rFonts w:hint="eastAsia"/>
                <w:sz w:val="24"/>
                <w:lang w:eastAsia="zh-CN"/>
              </w:rPr>
              <w:t>提升</w:t>
            </w:r>
            <w:r>
              <w:rPr>
                <w:rFonts w:hint="eastAsia"/>
                <w:sz w:val="24"/>
              </w:rPr>
              <w:t>改造</w:t>
            </w:r>
            <w:r>
              <w:rPr>
                <w:rFonts w:hint="eastAsia"/>
                <w:sz w:val="24"/>
                <w:lang w:eastAsia="zh-CN"/>
              </w:rPr>
              <w:t>试点村个数</w:t>
            </w:r>
          </w:p>
        </w:tc>
        <w:tc>
          <w:tcPr>
            <w:tcW w:w="854" w:type="pct"/>
            <w:noWrap w:val="0"/>
            <w:vAlign w:val="top"/>
          </w:tcPr>
          <w:p>
            <w:pPr>
              <w:spacing w:line="360" w:lineRule="auto"/>
              <w:jc w:val="center"/>
              <w:rPr>
                <w:rFonts w:hint="eastAsia" w:eastAsia="宋体"/>
                <w:sz w:val="24"/>
                <w:lang w:eastAsia="zh-CN"/>
              </w:rPr>
            </w:pPr>
            <w:r>
              <w:rPr>
                <w:rFonts w:hint="default" w:ascii="Arial" w:hAnsi="Arial" w:cs="Arial"/>
                <w:sz w:val="24"/>
                <w:lang w:val="en-US" w:eastAsia="zh-CN"/>
              </w:rPr>
              <w:t>≥</w:t>
            </w:r>
            <w:r>
              <w:rPr>
                <w:rFonts w:hint="eastAsia"/>
                <w:sz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262" w:type="pct"/>
            <w:vMerge w:val="continue"/>
            <w:noWrap w:val="0"/>
            <w:vAlign w:val="top"/>
          </w:tcPr>
          <w:p>
            <w:pPr>
              <w:rPr>
                <w:rFonts w:hint="eastAsia"/>
                <w:sz w:val="32"/>
                <w:szCs w:val="32"/>
              </w:rPr>
            </w:pPr>
          </w:p>
        </w:tc>
        <w:tc>
          <w:tcPr>
            <w:tcW w:w="899" w:type="pct"/>
            <w:vMerge w:val="continue"/>
            <w:noWrap w:val="0"/>
            <w:vAlign w:val="center"/>
          </w:tcPr>
          <w:p>
            <w:pPr>
              <w:spacing w:line="360" w:lineRule="auto"/>
              <w:jc w:val="center"/>
              <w:rPr>
                <w:rFonts w:hint="eastAsia"/>
                <w:sz w:val="24"/>
              </w:rPr>
            </w:pPr>
          </w:p>
        </w:tc>
        <w:tc>
          <w:tcPr>
            <w:tcW w:w="1113" w:type="pct"/>
            <w:vMerge w:val="continue"/>
            <w:noWrap w:val="0"/>
            <w:vAlign w:val="top"/>
          </w:tcPr>
          <w:p>
            <w:pPr>
              <w:spacing w:line="360" w:lineRule="auto"/>
              <w:jc w:val="center"/>
              <w:rPr>
                <w:rFonts w:hint="eastAsia"/>
                <w:sz w:val="24"/>
              </w:rPr>
            </w:pPr>
          </w:p>
        </w:tc>
        <w:tc>
          <w:tcPr>
            <w:tcW w:w="1869" w:type="pct"/>
            <w:gridSpan w:val="2"/>
            <w:noWrap w:val="0"/>
            <w:vAlign w:val="top"/>
          </w:tcPr>
          <w:p>
            <w:pPr>
              <w:spacing w:line="360" w:lineRule="auto"/>
              <w:rPr>
                <w:rFonts w:hint="eastAsia" w:eastAsia="宋体"/>
                <w:sz w:val="24"/>
                <w:lang w:eastAsia="zh-CN"/>
              </w:rPr>
            </w:pPr>
            <w:r>
              <w:rPr>
                <w:rFonts w:hint="eastAsia"/>
                <w:sz w:val="24"/>
                <w:lang w:eastAsia="zh-CN"/>
              </w:rPr>
              <w:t>提升改造户数</w:t>
            </w:r>
          </w:p>
        </w:tc>
        <w:tc>
          <w:tcPr>
            <w:tcW w:w="854" w:type="pct"/>
            <w:noWrap w:val="0"/>
            <w:vAlign w:val="top"/>
          </w:tcPr>
          <w:p>
            <w:pPr>
              <w:jc w:val="center"/>
              <w:rPr>
                <w:rFonts w:hint="default" w:eastAsia="宋体"/>
                <w:sz w:val="24"/>
                <w:lang w:val="en-US" w:eastAsia="zh-CN"/>
              </w:rPr>
            </w:pPr>
            <w:r>
              <w:rPr>
                <w:rFonts w:hint="default" w:ascii="Arial" w:hAnsi="Arial" w:cs="Arial"/>
                <w:sz w:val="24"/>
                <w:lang w:val="en-US" w:eastAsia="zh-CN"/>
              </w:rPr>
              <w:t>≥</w:t>
            </w:r>
            <w:r>
              <w:rPr>
                <w:rFonts w:hint="eastAsia"/>
                <w:sz w:val="24"/>
                <w:lang w:val="en-US" w:eastAsia="zh-CN"/>
              </w:rPr>
              <w:t>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 w:type="pct"/>
            <w:vMerge w:val="continue"/>
            <w:noWrap w:val="0"/>
            <w:vAlign w:val="top"/>
          </w:tcPr>
          <w:p>
            <w:pPr>
              <w:rPr>
                <w:rFonts w:hint="eastAsia"/>
                <w:sz w:val="32"/>
                <w:szCs w:val="32"/>
              </w:rPr>
            </w:pPr>
          </w:p>
        </w:tc>
        <w:tc>
          <w:tcPr>
            <w:tcW w:w="899" w:type="pct"/>
            <w:vMerge w:val="continue"/>
            <w:noWrap w:val="0"/>
            <w:vAlign w:val="center"/>
          </w:tcPr>
          <w:p>
            <w:pPr>
              <w:spacing w:line="360" w:lineRule="auto"/>
              <w:jc w:val="center"/>
              <w:rPr>
                <w:rFonts w:hint="eastAsia"/>
                <w:sz w:val="24"/>
              </w:rPr>
            </w:pPr>
          </w:p>
        </w:tc>
        <w:tc>
          <w:tcPr>
            <w:tcW w:w="1113" w:type="pct"/>
            <w:noWrap w:val="0"/>
            <w:vAlign w:val="top"/>
          </w:tcPr>
          <w:p>
            <w:pPr>
              <w:spacing w:line="360" w:lineRule="auto"/>
              <w:jc w:val="center"/>
              <w:rPr>
                <w:rFonts w:hint="eastAsia"/>
                <w:sz w:val="24"/>
              </w:rPr>
            </w:pPr>
            <w:r>
              <w:rPr>
                <w:rFonts w:hint="eastAsia"/>
                <w:sz w:val="24"/>
              </w:rPr>
              <w:t>时效指标</w:t>
            </w:r>
          </w:p>
        </w:tc>
        <w:tc>
          <w:tcPr>
            <w:tcW w:w="1869" w:type="pct"/>
            <w:gridSpan w:val="2"/>
            <w:noWrap w:val="0"/>
            <w:vAlign w:val="top"/>
          </w:tcPr>
          <w:p>
            <w:pPr>
              <w:spacing w:line="360" w:lineRule="auto"/>
              <w:rPr>
                <w:rFonts w:hint="eastAsia" w:eastAsia="宋体"/>
                <w:sz w:val="24"/>
                <w:lang w:eastAsia="zh-CN"/>
              </w:rPr>
            </w:pPr>
            <w:r>
              <w:rPr>
                <w:rFonts w:hint="eastAsia"/>
                <w:sz w:val="24"/>
                <w:lang w:eastAsia="zh-CN"/>
              </w:rPr>
              <w:t>提升改造农房开工率</w:t>
            </w:r>
          </w:p>
        </w:tc>
        <w:tc>
          <w:tcPr>
            <w:tcW w:w="854" w:type="pct"/>
            <w:noWrap w:val="0"/>
            <w:vAlign w:val="top"/>
          </w:tcPr>
          <w:p>
            <w:pPr>
              <w:spacing w:line="360" w:lineRule="auto"/>
              <w:jc w:val="center"/>
              <w:rPr>
                <w:rFonts w:hint="eastAsia"/>
                <w:sz w:val="24"/>
              </w:rPr>
            </w:pPr>
            <w:r>
              <w:rPr>
                <w:rFonts w:hint="eastAsia"/>
                <w:sz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 w:type="pct"/>
            <w:vMerge w:val="continue"/>
            <w:noWrap w:val="0"/>
            <w:vAlign w:val="top"/>
          </w:tcPr>
          <w:p>
            <w:pPr>
              <w:rPr>
                <w:rFonts w:hint="eastAsia"/>
                <w:sz w:val="32"/>
                <w:szCs w:val="32"/>
              </w:rPr>
            </w:pPr>
          </w:p>
        </w:tc>
        <w:tc>
          <w:tcPr>
            <w:tcW w:w="899" w:type="pct"/>
            <w:vMerge w:val="continue"/>
            <w:noWrap w:val="0"/>
            <w:vAlign w:val="center"/>
          </w:tcPr>
          <w:p>
            <w:pPr>
              <w:spacing w:line="360" w:lineRule="auto"/>
              <w:jc w:val="center"/>
              <w:rPr>
                <w:rFonts w:hint="eastAsia"/>
                <w:sz w:val="24"/>
              </w:rPr>
            </w:pPr>
          </w:p>
        </w:tc>
        <w:tc>
          <w:tcPr>
            <w:tcW w:w="1113" w:type="pct"/>
            <w:vMerge w:val="restart"/>
            <w:noWrap w:val="0"/>
            <w:vAlign w:val="top"/>
          </w:tcPr>
          <w:p>
            <w:pPr>
              <w:spacing w:line="360" w:lineRule="auto"/>
              <w:jc w:val="center"/>
              <w:rPr>
                <w:rFonts w:hint="eastAsia"/>
                <w:sz w:val="24"/>
              </w:rPr>
            </w:pPr>
            <w:r>
              <w:rPr>
                <w:rFonts w:hint="eastAsia"/>
                <w:sz w:val="24"/>
              </w:rPr>
              <w:t>成本指标</w:t>
            </w:r>
          </w:p>
        </w:tc>
        <w:tc>
          <w:tcPr>
            <w:tcW w:w="1869" w:type="pct"/>
            <w:gridSpan w:val="2"/>
            <w:noWrap w:val="0"/>
            <w:vAlign w:val="top"/>
          </w:tcPr>
          <w:p>
            <w:pPr>
              <w:rPr>
                <w:rFonts w:hint="eastAsia" w:eastAsia="宋体"/>
                <w:sz w:val="24"/>
                <w:lang w:eastAsia="zh-CN"/>
              </w:rPr>
            </w:pPr>
            <w:r>
              <w:rPr>
                <w:rFonts w:hint="eastAsia"/>
                <w:sz w:val="24"/>
                <w:lang w:eastAsia="zh-CN"/>
              </w:rPr>
              <w:t>补助标准执行率</w:t>
            </w:r>
          </w:p>
        </w:tc>
        <w:tc>
          <w:tcPr>
            <w:tcW w:w="854" w:type="pct"/>
            <w:noWrap w:val="0"/>
            <w:vAlign w:val="top"/>
          </w:tcPr>
          <w:p>
            <w:pPr>
              <w:spacing w:line="360" w:lineRule="auto"/>
              <w:jc w:val="center"/>
              <w:rPr>
                <w:rFonts w:hint="eastAsia"/>
                <w:sz w:val="24"/>
              </w:rPr>
            </w:pPr>
            <w:r>
              <w:rPr>
                <w:rFonts w:hint="eastAsia"/>
                <w:sz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 w:type="pct"/>
            <w:vMerge w:val="continue"/>
            <w:noWrap w:val="0"/>
            <w:vAlign w:val="top"/>
          </w:tcPr>
          <w:p>
            <w:pPr>
              <w:rPr>
                <w:rFonts w:hint="eastAsia"/>
                <w:sz w:val="32"/>
                <w:szCs w:val="32"/>
              </w:rPr>
            </w:pPr>
          </w:p>
        </w:tc>
        <w:tc>
          <w:tcPr>
            <w:tcW w:w="899" w:type="pct"/>
            <w:vMerge w:val="continue"/>
            <w:noWrap w:val="0"/>
            <w:vAlign w:val="center"/>
          </w:tcPr>
          <w:p>
            <w:pPr>
              <w:spacing w:line="360" w:lineRule="auto"/>
              <w:jc w:val="center"/>
              <w:rPr>
                <w:rFonts w:hint="eastAsia"/>
                <w:sz w:val="24"/>
              </w:rPr>
            </w:pPr>
          </w:p>
        </w:tc>
        <w:tc>
          <w:tcPr>
            <w:tcW w:w="1113" w:type="pct"/>
            <w:vMerge w:val="continue"/>
            <w:noWrap w:val="0"/>
            <w:vAlign w:val="top"/>
          </w:tcPr>
          <w:p>
            <w:pPr>
              <w:spacing w:line="360" w:lineRule="auto"/>
              <w:jc w:val="center"/>
              <w:rPr>
                <w:rFonts w:hint="eastAsia"/>
                <w:sz w:val="24"/>
              </w:rPr>
            </w:pPr>
          </w:p>
        </w:tc>
        <w:tc>
          <w:tcPr>
            <w:tcW w:w="1869" w:type="pct"/>
            <w:gridSpan w:val="2"/>
            <w:noWrap w:val="0"/>
            <w:vAlign w:val="top"/>
          </w:tcPr>
          <w:p>
            <w:pPr>
              <w:spacing w:line="360" w:lineRule="auto"/>
              <w:rPr>
                <w:rFonts w:hint="eastAsia" w:eastAsia="宋体"/>
                <w:sz w:val="24"/>
                <w:lang w:eastAsia="zh-CN"/>
              </w:rPr>
            </w:pPr>
            <w:r>
              <w:rPr>
                <w:rFonts w:hint="eastAsia"/>
                <w:sz w:val="24"/>
                <w:lang w:eastAsia="zh-CN"/>
              </w:rPr>
              <w:t>“一户一策”设计方案执行率</w:t>
            </w:r>
          </w:p>
        </w:tc>
        <w:tc>
          <w:tcPr>
            <w:tcW w:w="854" w:type="pct"/>
            <w:noWrap w:val="0"/>
            <w:vAlign w:val="top"/>
          </w:tcPr>
          <w:p>
            <w:pPr>
              <w:spacing w:line="360" w:lineRule="auto"/>
              <w:jc w:val="center"/>
              <w:rPr>
                <w:rFonts w:hint="eastAsia" w:eastAsia="宋体"/>
                <w:sz w:val="24"/>
                <w:lang w:eastAsia="zh-CN"/>
              </w:rPr>
            </w:pPr>
            <w:r>
              <w:rPr>
                <w:rFonts w:hint="eastAsia"/>
                <w:sz w:val="24"/>
              </w:rPr>
              <w:t>100%</w:t>
            </w:r>
            <w:r>
              <w:rPr>
                <w:rFonts w:hint="eastAsia"/>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262" w:type="pct"/>
            <w:vMerge w:val="continue"/>
            <w:noWrap w:val="0"/>
            <w:vAlign w:val="top"/>
          </w:tcPr>
          <w:p>
            <w:pPr>
              <w:rPr>
                <w:rFonts w:hint="eastAsia"/>
                <w:sz w:val="32"/>
                <w:szCs w:val="32"/>
              </w:rPr>
            </w:pPr>
          </w:p>
        </w:tc>
        <w:tc>
          <w:tcPr>
            <w:tcW w:w="899" w:type="pct"/>
            <w:noWrap w:val="0"/>
            <w:vAlign w:val="center"/>
          </w:tcPr>
          <w:p>
            <w:pPr>
              <w:jc w:val="both"/>
              <w:rPr>
                <w:rFonts w:hint="eastAsia"/>
                <w:sz w:val="24"/>
              </w:rPr>
            </w:pPr>
          </w:p>
          <w:p>
            <w:pPr>
              <w:jc w:val="center"/>
              <w:rPr>
                <w:rFonts w:hint="eastAsia"/>
                <w:sz w:val="24"/>
              </w:rPr>
            </w:pPr>
            <w:r>
              <w:rPr>
                <w:rFonts w:hint="eastAsia"/>
                <w:sz w:val="24"/>
              </w:rPr>
              <w:t>效益指标</w:t>
            </w:r>
          </w:p>
        </w:tc>
        <w:tc>
          <w:tcPr>
            <w:tcW w:w="1113" w:type="pct"/>
            <w:noWrap w:val="0"/>
            <w:vAlign w:val="top"/>
          </w:tcPr>
          <w:p>
            <w:pPr>
              <w:jc w:val="both"/>
              <w:rPr>
                <w:rFonts w:hint="eastAsia"/>
                <w:sz w:val="24"/>
              </w:rPr>
            </w:pPr>
          </w:p>
          <w:p>
            <w:pPr>
              <w:jc w:val="center"/>
              <w:rPr>
                <w:rFonts w:hint="eastAsia"/>
                <w:sz w:val="24"/>
              </w:rPr>
            </w:pPr>
            <w:r>
              <w:rPr>
                <w:rFonts w:hint="eastAsia"/>
                <w:sz w:val="24"/>
              </w:rPr>
              <w:t>社会效益</w:t>
            </w:r>
          </w:p>
          <w:p>
            <w:pPr>
              <w:jc w:val="center"/>
              <w:rPr>
                <w:rFonts w:hint="eastAsia"/>
                <w:sz w:val="24"/>
              </w:rPr>
            </w:pPr>
            <w:r>
              <w:rPr>
                <w:rFonts w:hint="eastAsia"/>
                <w:sz w:val="24"/>
              </w:rPr>
              <w:t>指标</w:t>
            </w:r>
          </w:p>
        </w:tc>
        <w:tc>
          <w:tcPr>
            <w:tcW w:w="1869" w:type="pct"/>
            <w:gridSpan w:val="2"/>
            <w:noWrap w:val="0"/>
            <w:vAlign w:val="top"/>
          </w:tcPr>
          <w:p>
            <w:pPr>
              <w:rPr>
                <w:rFonts w:hint="eastAsia"/>
                <w:sz w:val="24"/>
                <w:lang w:eastAsia="zh-CN"/>
              </w:rPr>
            </w:pPr>
          </w:p>
          <w:p>
            <w:pPr>
              <w:rPr>
                <w:rFonts w:hint="eastAsia"/>
                <w:sz w:val="24"/>
                <w:lang w:eastAsia="zh-CN"/>
              </w:rPr>
            </w:pPr>
          </w:p>
          <w:p>
            <w:pPr>
              <w:rPr>
                <w:rFonts w:hint="eastAsia" w:eastAsia="宋体"/>
                <w:sz w:val="24"/>
                <w:lang w:eastAsia="zh-CN"/>
              </w:rPr>
            </w:pPr>
            <w:r>
              <w:rPr>
                <w:rFonts w:hint="eastAsia"/>
                <w:sz w:val="24"/>
                <w:lang w:eastAsia="zh-CN"/>
              </w:rPr>
              <w:t>提升改造后房屋</w:t>
            </w:r>
          </w:p>
        </w:tc>
        <w:tc>
          <w:tcPr>
            <w:tcW w:w="854" w:type="pct"/>
            <w:noWrap w:val="0"/>
            <w:vAlign w:val="top"/>
          </w:tcPr>
          <w:p>
            <w:pPr>
              <w:spacing w:line="360" w:lineRule="auto"/>
              <w:jc w:val="center"/>
              <w:rPr>
                <w:rFonts w:hint="eastAsia"/>
                <w:sz w:val="24"/>
              </w:rPr>
            </w:pPr>
            <w:r>
              <w:rPr>
                <w:rFonts w:hint="eastAsia"/>
                <w:sz w:val="24"/>
                <w:lang w:val="en-US" w:eastAsia="zh-CN"/>
              </w:rPr>
              <w:t>成为具有现代居住功能的传统民居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 w:type="pct"/>
            <w:vMerge w:val="continue"/>
            <w:noWrap w:val="0"/>
            <w:vAlign w:val="top"/>
          </w:tcPr>
          <w:p>
            <w:pPr>
              <w:rPr>
                <w:rFonts w:hint="eastAsia"/>
                <w:sz w:val="32"/>
                <w:szCs w:val="32"/>
              </w:rPr>
            </w:pPr>
          </w:p>
        </w:tc>
        <w:tc>
          <w:tcPr>
            <w:tcW w:w="899" w:type="pct"/>
            <w:noWrap w:val="0"/>
            <w:vAlign w:val="top"/>
          </w:tcPr>
          <w:p>
            <w:pPr>
              <w:spacing w:line="360" w:lineRule="auto"/>
              <w:rPr>
                <w:rFonts w:hint="eastAsia"/>
                <w:sz w:val="24"/>
              </w:rPr>
            </w:pPr>
            <w:r>
              <w:rPr>
                <w:rFonts w:hint="eastAsia"/>
                <w:sz w:val="24"/>
              </w:rPr>
              <w:t>满意度指标</w:t>
            </w:r>
          </w:p>
        </w:tc>
        <w:tc>
          <w:tcPr>
            <w:tcW w:w="1113" w:type="pct"/>
            <w:noWrap w:val="0"/>
            <w:vAlign w:val="top"/>
          </w:tcPr>
          <w:p>
            <w:pPr>
              <w:jc w:val="center"/>
              <w:rPr>
                <w:rFonts w:hint="eastAsia"/>
                <w:sz w:val="24"/>
              </w:rPr>
            </w:pPr>
            <w:r>
              <w:rPr>
                <w:rFonts w:hint="eastAsia"/>
                <w:sz w:val="24"/>
              </w:rPr>
              <w:t>服务对象满意度</w:t>
            </w:r>
          </w:p>
        </w:tc>
        <w:tc>
          <w:tcPr>
            <w:tcW w:w="1869" w:type="pct"/>
            <w:gridSpan w:val="2"/>
            <w:noWrap w:val="0"/>
            <w:vAlign w:val="top"/>
          </w:tcPr>
          <w:p>
            <w:pPr>
              <w:spacing w:line="360" w:lineRule="auto"/>
              <w:rPr>
                <w:rFonts w:hint="eastAsia" w:eastAsia="宋体"/>
                <w:sz w:val="24"/>
                <w:lang w:eastAsia="zh-CN"/>
              </w:rPr>
            </w:pPr>
            <w:r>
              <w:rPr>
                <w:rFonts w:hint="eastAsia"/>
                <w:sz w:val="24"/>
                <w:lang w:eastAsia="zh-CN"/>
              </w:rPr>
              <w:t>受益群众满意度</w:t>
            </w:r>
          </w:p>
        </w:tc>
        <w:tc>
          <w:tcPr>
            <w:tcW w:w="854" w:type="pct"/>
            <w:noWrap w:val="0"/>
            <w:vAlign w:val="top"/>
          </w:tcPr>
          <w:p>
            <w:pPr>
              <w:spacing w:line="360" w:lineRule="auto"/>
              <w:jc w:val="center"/>
              <w:rPr>
                <w:rFonts w:hint="eastAsia"/>
                <w:sz w:val="24"/>
              </w:rPr>
            </w:pPr>
            <w:r>
              <w:rPr>
                <w:rFonts w:hint="eastAsia"/>
                <w:sz w:val="24"/>
              </w:rPr>
              <w:t>≥</w:t>
            </w:r>
            <w:r>
              <w:rPr>
                <w:rFonts w:hint="eastAsia"/>
                <w:sz w:val="24"/>
                <w:lang w:val="en-US" w:eastAsia="zh-CN"/>
              </w:rPr>
              <w:t>85</w:t>
            </w:r>
            <w:r>
              <w:rPr>
                <w:rFonts w:hint="eastAsia"/>
                <w:sz w:val="24"/>
              </w:rPr>
              <w:t>%</w:t>
            </w:r>
          </w:p>
        </w:tc>
      </w:tr>
    </w:tbl>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640" w:rightChars="0" w:firstLine="0" w:firstLineChars="0"/>
        <w:textAlignment w:val="auto"/>
        <w:outlineLvl w:val="9"/>
        <w:rPr>
          <w:rFonts w:hint="default" w:ascii="Times New Roman" w:hAnsi="Times New Roman" w:eastAsia="方正仿宋_GBK" w:cs="Times New Roman"/>
          <w:b/>
          <w:bCs/>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jc w:val="both"/>
        <w:textAlignment w:val="auto"/>
        <w:outlineLvl w:val="9"/>
        <w:rPr>
          <w:rFonts w:hint="default" w:ascii="Times New Roman" w:hAnsi="Times New Roman" w:eastAsia="方正仿宋_GBK" w:cs="Times New Roman"/>
          <w:sz w:val="28"/>
          <w:szCs w:val="28"/>
          <w:lang w:val="en-US" w:eastAsia="zh-CN"/>
        </w:rPr>
      </w:pPr>
    </w:p>
    <w:p/>
    <w:p>
      <w:pPr>
        <w:keepNext w:val="0"/>
        <w:keepLines w:val="0"/>
        <w:widowControl/>
        <w:suppressLineNumbers w:val="0"/>
        <w:jc w:val="left"/>
        <w:textAlignment w:val="center"/>
        <w:rPr>
          <w:rFonts w:hint="default" w:ascii="宋体" w:hAnsi="宋体" w:eastAsia="宋体" w:cs="宋体"/>
          <w:i w:val="0"/>
          <w:color w:val="000000"/>
          <w:kern w:val="0"/>
          <w:sz w:val="20"/>
          <w:szCs w:val="20"/>
          <w:u w:val="none"/>
          <w:lang w:val="en-US" w:eastAsia="zh-CN" w:bidi="ar"/>
        </w:rPr>
      </w:pPr>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256DF9"/>
    <w:multiLevelType w:val="singleLevel"/>
    <w:tmpl w:val="2F256DF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7BE3CD29-5B25-456D-8ED2-D9E561898521}"/>
    <w:docVar w:name="DocumentName" w:val="梁财社〔2022〕162号关于下达2022 年民族地区农房功能提升（农村危房改造接续支持）试点补助资金的通知“01 中央直达资金”"/>
  </w:docVars>
  <w:rsids>
    <w:rsidRoot w:val="00000000"/>
    <w:rsid w:val="00830B3A"/>
    <w:rsid w:val="013E4BC1"/>
    <w:rsid w:val="01445FB6"/>
    <w:rsid w:val="030F3960"/>
    <w:rsid w:val="038D487B"/>
    <w:rsid w:val="0581365C"/>
    <w:rsid w:val="06007873"/>
    <w:rsid w:val="0786416F"/>
    <w:rsid w:val="0AE5706E"/>
    <w:rsid w:val="0B512AC9"/>
    <w:rsid w:val="0DBC559A"/>
    <w:rsid w:val="0DFF6760"/>
    <w:rsid w:val="0FCB1CE9"/>
    <w:rsid w:val="102F7315"/>
    <w:rsid w:val="1091445F"/>
    <w:rsid w:val="12556B79"/>
    <w:rsid w:val="12B67DF9"/>
    <w:rsid w:val="131A6D3E"/>
    <w:rsid w:val="13A6267C"/>
    <w:rsid w:val="13EA4F64"/>
    <w:rsid w:val="148005FB"/>
    <w:rsid w:val="156809B0"/>
    <w:rsid w:val="15D8197A"/>
    <w:rsid w:val="173F1CD1"/>
    <w:rsid w:val="18763BA5"/>
    <w:rsid w:val="194E19BA"/>
    <w:rsid w:val="19B16135"/>
    <w:rsid w:val="1CAC171F"/>
    <w:rsid w:val="1CF21587"/>
    <w:rsid w:val="1D1710DE"/>
    <w:rsid w:val="1D815751"/>
    <w:rsid w:val="1DD646B6"/>
    <w:rsid w:val="1DEA7DC2"/>
    <w:rsid w:val="1EA0242D"/>
    <w:rsid w:val="1EF15C06"/>
    <w:rsid w:val="1FC666FD"/>
    <w:rsid w:val="2108113C"/>
    <w:rsid w:val="23494274"/>
    <w:rsid w:val="26C2199A"/>
    <w:rsid w:val="279D33AE"/>
    <w:rsid w:val="27AC3A14"/>
    <w:rsid w:val="283B2521"/>
    <w:rsid w:val="28AC1ED8"/>
    <w:rsid w:val="2B4D5322"/>
    <w:rsid w:val="2F10570F"/>
    <w:rsid w:val="2F2819F8"/>
    <w:rsid w:val="30110C95"/>
    <w:rsid w:val="317967B1"/>
    <w:rsid w:val="32572CB0"/>
    <w:rsid w:val="32B622A9"/>
    <w:rsid w:val="32CB2F7B"/>
    <w:rsid w:val="354664EB"/>
    <w:rsid w:val="3782629D"/>
    <w:rsid w:val="380657E0"/>
    <w:rsid w:val="39567C53"/>
    <w:rsid w:val="39B049C2"/>
    <w:rsid w:val="3A1145AF"/>
    <w:rsid w:val="3BFB5BA6"/>
    <w:rsid w:val="40C50F64"/>
    <w:rsid w:val="41317C60"/>
    <w:rsid w:val="42253A94"/>
    <w:rsid w:val="43977223"/>
    <w:rsid w:val="46AF3BC9"/>
    <w:rsid w:val="47CC6BDA"/>
    <w:rsid w:val="48B32C39"/>
    <w:rsid w:val="48CD35F9"/>
    <w:rsid w:val="49BF0020"/>
    <w:rsid w:val="4BE27134"/>
    <w:rsid w:val="4D115CD9"/>
    <w:rsid w:val="4D77008C"/>
    <w:rsid w:val="4D903DD3"/>
    <w:rsid w:val="4E3A4F02"/>
    <w:rsid w:val="4E8C28E4"/>
    <w:rsid w:val="4F2043ED"/>
    <w:rsid w:val="4F3924D2"/>
    <w:rsid w:val="505209FD"/>
    <w:rsid w:val="5173353F"/>
    <w:rsid w:val="51CD1A34"/>
    <w:rsid w:val="52DF1331"/>
    <w:rsid w:val="531E5CD8"/>
    <w:rsid w:val="53781618"/>
    <w:rsid w:val="54FE12AD"/>
    <w:rsid w:val="55BE3C17"/>
    <w:rsid w:val="5620087B"/>
    <w:rsid w:val="56ED7D8F"/>
    <w:rsid w:val="57016AD5"/>
    <w:rsid w:val="571B2326"/>
    <w:rsid w:val="59F763F7"/>
    <w:rsid w:val="5B2F6498"/>
    <w:rsid w:val="5C8B039C"/>
    <w:rsid w:val="5D625B32"/>
    <w:rsid w:val="5ED66A25"/>
    <w:rsid w:val="601E5E3F"/>
    <w:rsid w:val="61353447"/>
    <w:rsid w:val="618A2EA8"/>
    <w:rsid w:val="61A31EE4"/>
    <w:rsid w:val="62FB3F34"/>
    <w:rsid w:val="643C04C0"/>
    <w:rsid w:val="6633285F"/>
    <w:rsid w:val="666269FB"/>
    <w:rsid w:val="67857668"/>
    <w:rsid w:val="67CF0D59"/>
    <w:rsid w:val="69A81484"/>
    <w:rsid w:val="6A855C4B"/>
    <w:rsid w:val="6BDF40EE"/>
    <w:rsid w:val="6C256231"/>
    <w:rsid w:val="6C50043E"/>
    <w:rsid w:val="6CAF0ABD"/>
    <w:rsid w:val="6ED90E25"/>
    <w:rsid w:val="6FDD6050"/>
    <w:rsid w:val="722071DD"/>
    <w:rsid w:val="73066F61"/>
    <w:rsid w:val="73262C99"/>
    <w:rsid w:val="738D1A7B"/>
    <w:rsid w:val="76514837"/>
    <w:rsid w:val="76AC7492"/>
    <w:rsid w:val="78451356"/>
    <w:rsid w:val="78A94A62"/>
    <w:rsid w:val="7A70643A"/>
    <w:rsid w:val="7B195770"/>
    <w:rsid w:val="7B8D7DC0"/>
    <w:rsid w:val="7BA30EF9"/>
    <w:rsid w:val="7C6061A4"/>
    <w:rsid w:val="7CBE56CF"/>
    <w:rsid w:val="7CDB460E"/>
    <w:rsid w:val="7DA84A10"/>
    <w:rsid w:val="7E7000BE"/>
    <w:rsid w:val="7EF07283"/>
    <w:rsid w:val="7FD67F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link w:val="8"/>
    <w:semiHidden/>
    <w:qFormat/>
    <w:uiPriority w:val="0"/>
    <w:rPr>
      <w:rFonts w:ascii="Verdana" w:hAnsi="Verdana" w:eastAsia="仿宋_GB2312" w:cs="Calibri"/>
      <w:kern w:val="0"/>
      <w:sz w:val="24"/>
      <w:szCs w:val="20"/>
      <w:lang w:eastAsia="en-US"/>
    </w:rPr>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4">
    <w:name w:val="Title"/>
    <w:basedOn w:val="1"/>
    <w:qFormat/>
    <w:uiPriority w:val="0"/>
    <w:pPr>
      <w:widowControl/>
      <w:jc w:val="center"/>
      <w:textAlignment w:val="baseline"/>
      <w:outlineLvl w:val="0"/>
    </w:pPr>
    <w:rPr>
      <w:rFonts w:ascii="Arial" w:hAnsi="Arial" w:eastAsia="仿宋_GB2312" w:cstheme="minorBidi"/>
      <w:b/>
      <w:sz w:val="32"/>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 Char Char Char Char Char Char Char Char Char Char Char Char Char Char Char Char Char Char Char Char Char Char Char Char Char Char Char Char Char Char Char Char Char"/>
    <w:basedOn w:val="1"/>
    <w:link w:val="7"/>
    <w:qFormat/>
    <w:uiPriority w:val="0"/>
    <w:pPr>
      <w:widowControl/>
      <w:spacing w:after="160" w:line="240" w:lineRule="exact"/>
      <w:jc w:val="left"/>
    </w:pPr>
    <w:rPr>
      <w:rFonts w:ascii="Verdana" w:hAnsi="Verdana" w:eastAsia="仿宋_GB2312" w:cs="Calibri"/>
      <w:kern w:val="0"/>
      <w:sz w:val="24"/>
      <w:szCs w:val="20"/>
      <w:lang w:eastAsia="en-US"/>
    </w:rPr>
  </w:style>
  <w:style w:type="character" w:styleId="9">
    <w:name w:val="page number"/>
    <w:basedOn w:val="7"/>
    <w:uiPriority w:val="0"/>
    <w:rPr>
      <w:rFonts w:ascii="Times New Roman" w:hAnsi="Times New Roman" w:eastAsia="宋体" w:cs="Times New Roman"/>
    </w:rPr>
  </w:style>
  <w:style w:type="character" w:customStyle="1" w:styleId="10">
    <w:name w:val="font21"/>
    <w:basedOn w:val="7"/>
    <w:qFormat/>
    <w:uiPriority w:val="0"/>
    <w:rPr>
      <w:rFonts w:hint="eastAsia" w:ascii="宋体" w:hAnsi="宋体" w:eastAsia="宋体" w:cs="宋体"/>
      <w:color w:val="000000"/>
      <w:sz w:val="18"/>
      <w:szCs w:val="18"/>
      <w:u w:val="none"/>
    </w:rPr>
  </w:style>
  <w:style w:type="character" w:customStyle="1" w:styleId="11">
    <w:name w:val="font31"/>
    <w:basedOn w:val="7"/>
    <w:qFormat/>
    <w:uiPriority w:val="0"/>
    <w:rPr>
      <w:rFonts w:hint="eastAsia" w:ascii="宋体" w:hAnsi="宋体" w:eastAsia="宋体" w:cs="宋体"/>
      <w:color w:val="000000"/>
      <w:sz w:val="20"/>
      <w:szCs w:val="20"/>
      <w:u w:val="none"/>
    </w:rPr>
  </w:style>
  <w:style w:type="character" w:customStyle="1" w:styleId="12">
    <w:name w:val="font01"/>
    <w:basedOn w:val="7"/>
    <w:qFormat/>
    <w:uiPriority w:val="0"/>
    <w:rPr>
      <w:rFonts w:hint="eastAsia" w:ascii="宋体" w:hAnsi="宋体" w:eastAsia="宋体" w:cs="宋体"/>
      <w:b/>
      <w:color w:val="000000"/>
      <w:sz w:val="20"/>
      <w:szCs w:val="20"/>
      <w:u w:val="none"/>
    </w:rPr>
  </w:style>
  <w:style w:type="character" w:customStyle="1" w:styleId="13">
    <w:name w:val="font41"/>
    <w:basedOn w:val="7"/>
    <w:qFormat/>
    <w:uiPriority w:val="0"/>
    <w:rPr>
      <w:rFonts w:hint="default" w:ascii="Times New Roman" w:hAnsi="Times New Roman" w:eastAsia="宋体" w:cs="Times New Roman"/>
      <w:color w:val="000000"/>
      <w:sz w:val="22"/>
      <w:szCs w:val="22"/>
      <w:u w:val="none"/>
    </w:rPr>
  </w:style>
  <w:style w:type="character" w:customStyle="1" w:styleId="14">
    <w:name w:val="font71"/>
    <w:basedOn w:val="7"/>
    <w:qFormat/>
    <w:uiPriority w:val="0"/>
    <w:rPr>
      <w:rFonts w:hint="eastAsia"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Administrator.PCOS-1712151757</dc:creator>
  <cp:lastModifiedBy>梁河财政</cp:lastModifiedBy>
  <cp:lastPrinted>2022-10-13T01:47:00Z</cp:lastPrinted>
  <dcterms:modified xsi:type="dcterms:W3CDTF">2024-05-27T03:31:38Z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